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Б1.О.01.07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156.3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очная форма обучения в соответствии с требованиями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Б1.О.01.07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взаимодействия в группе, разновидности коммуникативных и социальных  ролей в групповом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организовывать взаимодействие в группе (определять общие цели, распределять роли и т.д.)</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критически относиться к собственному мнению, отстаивать собственную точку зрения в  случае необходимости признавать ошибочность собственного мнения и корректировать его</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ценностями и нормами поведения в процессе группового общения (культурой группового общения)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навыками конструктивного взаимодействия в группе, методами влияния и управления командой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Б1.О.01.07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37.03.01 Психология.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самоорганизации и саморазвития студента</w:t>
            </w:r>
          </w:p>
          <w:p>
            <w:pPr>
              <w:jc w:val="center"/>
              <w:spacing w:after="0" w:line="240" w:lineRule="auto"/>
              <w:rPr>
                <w:sz w:val="22"/>
                <w:szCs w:val="22"/>
              </w:rPr>
            </w:pPr>
            <w:r>
              <w:rPr>
                <w:rFonts w:ascii="Times New Roman" w:hAnsi="Times New Roman" w:cs="Times New Roman"/>
                <w:color w:val="#000000"/>
                <w:sz w:val="22"/>
                <w:szCs w:val="22"/>
              </w:rPr>
              <w:t> Психология здоровья</w:t>
            </w:r>
          </w:p>
          <w:p>
            <w:pPr>
              <w:jc w:val="center"/>
              <w:spacing w:after="0" w:line="240" w:lineRule="auto"/>
              <w:rPr>
                <w:sz w:val="22"/>
                <w:szCs w:val="22"/>
              </w:rPr>
            </w:pPr>
            <w:r>
              <w:rPr>
                <w:rFonts w:ascii="Times New Roman" w:hAnsi="Times New Roman" w:cs="Times New Roman"/>
                <w:color w:val="#000000"/>
                <w:sz w:val="22"/>
                <w:szCs w:val="22"/>
              </w:rPr>
              <w:t>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История психологии</w:t>
            </w:r>
          </w:p>
          <w:p>
            <w:pPr>
              <w:jc w:val="center"/>
              <w:spacing w:after="0" w:line="240" w:lineRule="auto"/>
              <w:rPr>
                <w:sz w:val="22"/>
                <w:szCs w:val="22"/>
              </w:rPr>
            </w:pPr>
            <w:r>
              <w:rPr>
                <w:rFonts w:ascii="Times New Roman" w:hAnsi="Times New Roman" w:cs="Times New Roman"/>
                <w:color w:val="#000000"/>
                <w:sz w:val="22"/>
                <w:szCs w:val="22"/>
              </w:rPr>
              <w:t> Психология безопасности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1 (производственная практика в профильных организациях)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683.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007.7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рисками в работе с волонтерами и волонтерскими организациями.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Мифтахова,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http://www.iprbookshop.ru/32218.html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16.7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00.07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2023-2024_ФГОС3++2023_Бак-ОФО-Психология(ПСОиСФ)(23)_plx_Организация добровольческой (волонтерской) деятельности и взаимодействие с социально ориентированными НКО</dc:title>
  <dc:creator>FastReport.NET</dc:creator>
</cp:coreProperties>
</file>